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92" w:firstLineChars="1100"/>
        <w:rPr>
          <w:rFonts w:hint="default" w:ascii="Times New Roman" w:hAnsi="Times New Roman" w:cs="Times New Roman"/>
          <w:b/>
          <w:bCs/>
          <w:sz w:val="28"/>
          <w:szCs w:val="28"/>
        </w:rPr>
      </w:pPr>
      <w:bookmarkStart w:id="0" w:name="_GoBack"/>
      <w:r>
        <w:rPr>
          <w:rFonts w:hint="default" w:ascii="Times New Roman" w:hAnsi="Times New Roman" w:cs="Times New Roman"/>
          <w:b/>
          <w:bCs/>
          <w:sz w:val="28"/>
          <w:szCs w:val="28"/>
        </w:rPr>
        <w:t>RY-GS Tumbler Sieving Machine</w:t>
      </w:r>
    </w:p>
    <w:bookmarkEnd w:id="0"/>
    <w:p>
      <w:pPr>
        <w:rPr>
          <w:rFonts w:hint="default" w:ascii="Times New Roman" w:hAnsi="Times New Roman" w:cs="Times New Roman"/>
          <w:b/>
          <w:bCs/>
          <w:sz w:val="24"/>
          <w:szCs w:val="24"/>
        </w:rPr>
      </w:pPr>
      <w:r>
        <w:rPr>
          <w:rFonts w:hint="default" w:ascii="Times New Roman" w:hAnsi="Times New Roman" w:cs="Times New Roman"/>
          <w:b/>
          <w:bCs/>
          <w:sz w:val="24"/>
          <w:szCs w:val="24"/>
        </w:rPr>
        <w:t>The main use and characteristics of the equipment</w:t>
      </w:r>
    </w:p>
    <w:p>
      <w:pPr>
        <w:rPr>
          <w:rFonts w:hint="default" w:ascii="Times New Roman" w:hAnsi="Times New Roman" w:cs="Times New Roman"/>
          <w:sz w:val="24"/>
          <w:szCs w:val="24"/>
        </w:rPr>
      </w:pPr>
      <w:r>
        <w:rPr>
          <w:rFonts w:hint="default" w:ascii="Times New Roman" w:hAnsi="Times New Roman" w:cs="Times New Roman"/>
          <w:sz w:val="24"/>
          <w:szCs w:val="24"/>
        </w:rPr>
        <w:t>Tumbler screening machine is a common equipment in the production of organic fertili</w:t>
      </w:r>
      <w:r>
        <w:rPr>
          <w:rFonts w:hint="eastAsia" w:ascii="Times New Roman" w:hAnsi="Times New Roman" w:cs="Times New Roman"/>
          <w:sz w:val="24"/>
          <w:szCs w:val="24"/>
          <w:lang w:val="en-US" w:eastAsia="zh-CN"/>
        </w:rPr>
        <w:t>z</w:t>
      </w:r>
      <w:r>
        <w:rPr>
          <w:rFonts w:hint="default" w:ascii="Times New Roman" w:hAnsi="Times New Roman" w:cs="Times New Roman"/>
          <w:sz w:val="24"/>
          <w:szCs w:val="24"/>
        </w:rPr>
        <w:t>er, mainly used for the separation of product and return material, can also achieve the classification of finished products, so the finished products are evenly classified. Adopting combined screen, hoop fixed screen, easy to maintain and replace, the machine has a simple structure, easy to operate, stable operation.</w:t>
      </w:r>
    </w:p>
    <w:p>
      <w:pPr>
        <w:rPr>
          <w:rFonts w:hint="default" w:ascii="Times New Roman" w:hAnsi="Times New Roman" w:cs="Times New Roman"/>
          <w:sz w:val="24"/>
          <w:szCs w:val="24"/>
        </w:rPr>
      </w:pPr>
      <w:r>
        <w:rPr>
          <w:rFonts w:hint="default" w:ascii="Times New Roman" w:hAnsi="Times New Roman" w:cs="Times New Roman"/>
          <w:sz w:val="24"/>
          <w:szCs w:val="24"/>
        </w:rPr>
        <w:t>In order to prevent the material from clogging the screen, the tumbler screening machine is equipped with a tapping device.</w:t>
      </w:r>
    </w:p>
    <w:p>
      <w:pPr>
        <w:rPr>
          <w:rFonts w:hint="default" w:ascii="Times New Roman" w:hAnsi="Times New Roman" w:cs="Times New Roman"/>
          <w:sz w:val="24"/>
          <w:szCs w:val="24"/>
        </w:rPr>
      </w:pPr>
    </w:p>
    <w:p>
      <w:pP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The technique Parameter</w:t>
      </w:r>
    </w:p>
    <w:tbl>
      <w:tblPr>
        <w:tblStyle w:val="3"/>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88"/>
        <w:gridCol w:w="1130"/>
        <w:gridCol w:w="1156"/>
        <w:gridCol w:w="762"/>
        <w:gridCol w:w="1060"/>
        <w:gridCol w:w="762"/>
        <w:gridCol w:w="990"/>
        <w:gridCol w:w="202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03" w:hRule="atLeast"/>
        </w:trPr>
        <w:tc>
          <w:tcPr>
            <w:tcW w:w="1288" w:type="dxa"/>
            <w:vMerge w:val="restart"/>
          </w:tcPr>
          <w:p>
            <w:pPr>
              <w:jc w:val="left"/>
              <w:rPr>
                <w:rFonts w:hint="default" w:ascii="Times New Roman" w:hAnsi="Times New Roman" w:cs="Times New Roman"/>
                <w:sz w:val="18"/>
                <w:szCs w:val="18"/>
                <w:vertAlign w:val="baseline"/>
              </w:rPr>
            </w:pPr>
          </w:p>
          <w:p>
            <w:pPr>
              <w:jc w:val="left"/>
              <w:rPr>
                <w:rFonts w:hint="default" w:ascii="Times New Roman" w:hAnsi="Times New Roman" w:cs="Times New Roman" w:eastAsiaTheme="minorEastAsia"/>
                <w:sz w:val="18"/>
                <w:szCs w:val="18"/>
                <w:vertAlign w:val="baseline"/>
                <w:lang w:val="en-US" w:eastAsia="zh-CN"/>
              </w:rPr>
            </w:pPr>
            <w:r>
              <w:drawing>
                <wp:anchor distT="0" distB="0" distL="114300" distR="114300" simplePos="0" relativeHeight="251660288" behindDoc="0" locked="0" layoutInCell="1" allowOverlap="1">
                  <wp:simplePos x="0" y="0"/>
                  <wp:positionH relativeFrom="column">
                    <wp:posOffset>-67310</wp:posOffset>
                  </wp:positionH>
                  <wp:positionV relativeFrom="paragraph">
                    <wp:posOffset>781050</wp:posOffset>
                  </wp:positionV>
                  <wp:extent cx="6508750" cy="1080135"/>
                  <wp:effectExtent l="0" t="0" r="13970" b="1905"/>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6508750" cy="1080135"/>
                          </a:xfrm>
                          <a:prstGeom prst="rect">
                            <a:avLst/>
                          </a:prstGeom>
                          <a:noFill/>
                          <a:ln>
                            <a:noFill/>
                          </a:ln>
                        </pic:spPr>
                      </pic:pic>
                    </a:graphicData>
                  </a:graphic>
                </wp:anchor>
              </w:drawing>
            </w:r>
            <w:r>
              <w:rPr>
                <w:rFonts w:hint="default" w:ascii="Times New Roman" w:hAnsi="Times New Roman" w:cs="Times New Roman"/>
                <w:sz w:val="18"/>
                <w:szCs w:val="18"/>
                <w:vertAlign w:val="baseline"/>
                <w:lang w:val="en-US" w:eastAsia="zh-CN"/>
              </w:rPr>
              <w:t>Model</w:t>
            </w:r>
          </w:p>
        </w:tc>
        <w:tc>
          <w:tcPr>
            <w:tcW w:w="2286" w:type="dxa"/>
            <w:gridSpan w:val="2"/>
          </w:tcPr>
          <w:p>
            <w:pPr>
              <w:jc w:val="left"/>
              <w:rPr>
                <w:rFonts w:hint="default" w:ascii="Times New Roman" w:hAnsi="Times New Roman" w:cs="Times New Roman"/>
                <w:sz w:val="18"/>
                <w:szCs w:val="18"/>
                <w:vertAlign w:val="baseline"/>
              </w:rPr>
            </w:pPr>
            <w:r>
              <w:rPr>
                <w:rFonts w:hint="default" w:ascii="Times New Roman" w:hAnsi="Times New Roman" w:cs="Times New Roman"/>
                <w:sz w:val="18"/>
                <w:szCs w:val="18"/>
              </w:rPr>
              <w:t>Cylinder</w:t>
            </w:r>
          </w:p>
        </w:tc>
        <w:tc>
          <w:tcPr>
            <w:tcW w:w="762" w:type="dxa"/>
            <w:vMerge w:val="restart"/>
          </w:tcPr>
          <w:p>
            <w:pPr>
              <w:jc w:val="left"/>
              <w:rPr>
                <w:rFonts w:hint="default" w:ascii="Times New Roman" w:hAnsi="Times New Roman" w:cs="Times New Roman"/>
                <w:sz w:val="15"/>
                <w:szCs w:val="15"/>
              </w:rPr>
            </w:pPr>
            <w:r>
              <w:rPr>
                <w:rFonts w:hint="default" w:ascii="Times New Roman" w:hAnsi="Times New Roman" w:cs="Times New Roman"/>
                <w:sz w:val="15"/>
                <w:szCs w:val="15"/>
              </w:rPr>
              <w:t>Rotation speed</w:t>
            </w:r>
          </w:p>
          <w:p>
            <w:pPr>
              <w:jc w:val="left"/>
              <w:rPr>
                <w:rFonts w:hint="default" w:ascii="Times New Roman" w:hAnsi="Times New Roman" w:cs="Times New Roman" w:eastAsiaTheme="minorEastAsia"/>
                <w:sz w:val="18"/>
                <w:szCs w:val="18"/>
                <w:vertAlign w:val="baseline"/>
                <w:lang w:eastAsia="zh-CN"/>
              </w:rPr>
            </w:pPr>
            <w:r>
              <w:rPr>
                <w:rFonts w:hint="default" w:ascii="Times New Roman" w:hAnsi="Times New Roman" w:cs="Times New Roman"/>
                <w:sz w:val="15"/>
                <w:szCs w:val="15"/>
                <w:vertAlign w:val="baseline"/>
                <w:lang w:eastAsia="zh-CN"/>
              </w:rPr>
              <w:t>（</w:t>
            </w:r>
            <w:r>
              <w:rPr>
                <w:rFonts w:hint="default" w:ascii="Times New Roman" w:hAnsi="Times New Roman" w:cs="Times New Roman"/>
                <w:sz w:val="15"/>
                <w:szCs w:val="15"/>
                <w:vertAlign w:val="baseline"/>
                <w:lang w:val="en-US" w:eastAsia="zh-CN"/>
              </w:rPr>
              <w:t>r/min</w:t>
            </w:r>
            <w:r>
              <w:rPr>
                <w:rFonts w:hint="default" w:ascii="Times New Roman" w:hAnsi="Times New Roman" w:cs="Times New Roman"/>
                <w:sz w:val="15"/>
                <w:szCs w:val="15"/>
                <w:vertAlign w:val="baseline"/>
                <w:lang w:eastAsia="zh-CN"/>
              </w:rPr>
              <w:t>）</w:t>
            </w:r>
          </w:p>
        </w:tc>
        <w:tc>
          <w:tcPr>
            <w:tcW w:w="1060" w:type="dxa"/>
            <w:vMerge w:val="restart"/>
          </w:tcPr>
          <w:p>
            <w:pPr>
              <w:jc w:val="left"/>
              <w:rPr>
                <w:rFonts w:hint="default" w:ascii="Times New Roman" w:hAnsi="Times New Roman" w:cs="Times New Roman"/>
                <w:sz w:val="18"/>
                <w:szCs w:val="18"/>
                <w:vertAlign w:val="baseline"/>
              </w:rPr>
            </w:pPr>
            <w:r>
              <w:rPr>
                <w:rFonts w:hint="default" w:ascii="Times New Roman" w:hAnsi="Times New Roman" w:cs="Times New Roman"/>
                <w:sz w:val="18"/>
                <w:szCs w:val="18"/>
              </w:rPr>
              <w:t xml:space="preserve">Inclination </w:t>
            </w:r>
            <w:r>
              <w:rPr>
                <w:rFonts w:hint="default" w:ascii="Times New Roman" w:hAnsi="Times New Roman" w:cs="Times New Roman"/>
                <w:sz w:val="18"/>
                <w:szCs w:val="18"/>
                <w:vertAlign w:val="superscript"/>
              </w:rPr>
              <w:t>(0)</w:t>
            </w:r>
          </w:p>
        </w:tc>
        <w:tc>
          <w:tcPr>
            <w:tcW w:w="762" w:type="dxa"/>
            <w:vMerge w:val="restart"/>
          </w:tcPr>
          <w:p>
            <w:pPr>
              <w:jc w:val="left"/>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Power</w:t>
            </w:r>
          </w:p>
          <w:p>
            <w:pPr>
              <w:jc w:val="left"/>
              <w:rPr>
                <w:rFonts w:hint="default" w:ascii="Times New Roman" w:hAnsi="Times New Roman" w:cs="Times New Roman"/>
                <w:sz w:val="18"/>
                <w:szCs w:val="18"/>
              </w:rPr>
            </w:pPr>
            <w:r>
              <w:rPr>
                <w:rFonts w:hint="default" w:ascii="Times New Roman" w:hAnsi="Times New Roman" w:cs="Times New Roman"/>
                <w:sz w:val="18"/>
                <w:szCs w:val="18"/>
              </w:rPr>
              <w:t>(kw)</w:t>
            </w:r>
          </w:p>
          <w:p>
            <w:pPr>
              <w:jc w:val="left"/>
              <w:rPr>
                <w:rFonts w:hint="default" w:ascii="Times New Roman" w:hAnsi="Times New Roman" w:cs="Times New Roman"/>
                <w:sz w:val="18"/>
                <w:szCs w:val="18"/>
                <w:vertAlign w:val="baseline"/>
                <w:lang w:val="en-US" w:eastAsia="zh-CN"/>
              </w:rPr>
            </w:pPr>
          </w:p>
        </w:tc>
        <w:tc>
          <w:tcPr>
            <w:tcW w:w="990" w:type="dxa"/>
            <w:vMerge w:val="restart"/>
          </w:tcPr>
          <w:p>
            <w:pPr>
              <w:jc w:val="left"/>
              <w:rPr>
                <w:rFonts w:hint="default" w:ascii="Times New Roman" w:hAnsi="Times New Roman" w:cs="Times New Roman"/>
                <w:sz w:val="15"/>
                <w:szCs w:val="15"/>
                <w:vertAlign w:val="baseline"/>
                <w:lang w:val="en-US" w:eastAsia="zh-CN"/>
              </w:rPr>
            </w:pPr>
            <w:r>
              <w:rPr>
                <w:rFonts w:hint="default" w:ascii="Times New Roman" w:hAnsi="Times New Roman" w:cs="Times New Roman"/>
                <w:sz w:val="15"/>
                <w:szCs w:val="15"/>
                <w:vertAlign w:val="baseline"/>
                <w:lang w:val="en-US" w:eastAsia="zh-CN"/>
              </w:rPr>
              <w:t>Productivity</w:t>
            </w:r>
          </w:p>
          <w:p>
            <w:pPr>
              <w:jc w:val="left"/>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(t/h)</w:t>
            </w:r>
          </w:p>
        </w:tc>
        <w:tc>
          <w:tcPr>
            <w:tcW w:w="2023" w:type="dxa"/>
          </w:tcPr>
          <w:p>
            <w:pPr>
              <w:jc w:val="left"/>
              <w:rPr>
                <w:rFonts w:hint="default" w:ascii="Times New Roman" w:hAnsi="Times New Roman" w:cs="Times New Roman"/>
                <w:sz w:val="18"/>
                <w:szCs w:val="18"/>
              </w:rPr>
            </w:pPr>
            <w:r>
              <w:rPr>
                <w:rFonts w:hint="default" w:ascii="Times New Roman" w:hAnsi="Times New Roman" w:cs="Times New Roman"/>
                <w:sz w:val="18"/>
                <w:szCs w:val="18"/>
              </w:rPr>
              <w:t>Overall Dimension</w:t>
            </w:r>
          </w:p>
          <w:p>
            <w:pPr>
              <w:jc w:val="left"/>
              <w:rPr>
                <w:rFonts w:hint="default" w:ascii="Times New Roman" w:hAnsi="Times New Roman" w:cs="Times New Roman"/>
                <w:sz w:val="18"/>
                <w:szCs w:val="18"/>
                <w:vertAlign w:val="baseline"/>
              </w:rPr>
            </w:pPr>
          </w:p>
        </w:tc>
        <w:tc>
          <w:tcPr>
            <w:tcW w:w="1018" w:type="dxa"/>
            <w:vMerge w:val="restart"/>
          </w:tcPr>
          <w:p>
            <w:pPr>
              <w:jc w:val="left"/>
              <w:rPr>
                <w:rFonts w:hint="default" w:ascii="Times New Roman" w:hAnsi="Times New Roman" w:cs="Times New Roman"/>
                <w:sz w:val="18"/>
                <w:szCs w:val="18"/>
                <w:vertAlign w:val="baseline"/>
              </w:rPr>
            </w:pPr>
          </w:p>
          <w:p>
            <w:pPr>
              <w:jc w:val="left"/>
              <w:rPr>
                <w:rFonts w:hint="default" w:ascii="Times New Roman" w:hAnsi="Times New Roman" w:cs="Times New Roman"/>
                <w:sz w:val="18"/>
                <w:szCs w:val="18"/>
                <w:vertAlign w:val="baseline"/>
              </w:rPr>
            </w:pPr>
          </w:p>
          <w:p>
            <w:pPr>
              <w:jc w:val="left"/>
              <w:rPr>
                <w:rFonts w:hint="default" w:ascii="Times New Roman" w:hAnsi="Times New Roman" w:cs="Times New Roman" w:eastAsiaTheme="minorEastAsia"/>
                <w:sz w:val="18"/>
                <w:szCs w:val="18"/>
                <w:vertAlign w:val="baseline"/>
                <w:lang w:val="en-US" w:eastAsia="zh-CN"/>
              </w:rPr>
            </w:pPr>
            <w:r>
              <w:rPr>
                <w:rFonts w:hint="default" w:ascii="Times New Roman" w:hAnsi="Times New Roman" w:cs="Times New Roman"/>
                <w:sz w:val="18"/>
                <w:szCs w:val="18"/>
                <w:vertAlign w:val="baseline"/>
                <w:lang w:val="en-US" w:eastAsia="zh-CN"/>
              </w:rPr>
              <w:t>Weight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90" w:hRule="atLeast"/>
        </w:trPr>
        <w:tc>
          <w:tcPr>
            <w:tcW w:w="1288" w:type="dxa"/>
            <w:vMerge w:val="continue"/>
            <w:tcBorders/>
          </w:tcPr>
          <w:p>
            <w:pPr>
              <w:rPr>
                <w:vertAlign w:val="baseline"/>
              </w:rPr>
            </w:pPr>
          </w:p>
        </w:tc>
        <w:tc>
          <w:tcPr>
            <w:tcW w:w="1130" w:type="dxa"/>
          </w:tcPr>
          <w:p>
            <w:pPr>
              <w:jc w:val="both"/>
              <w:rPr>
                <w:rFonts w:hint="default" w:ascii="Times New Roman" w:hAnsi="Times New Roman" w:cs="Times New Roman"/>
                <w:sz w:val="18"/>
                <w:szCs w:val="18"/>
              </w:rPr>
            </w:pPr>
            <w:r>
              <w:rPr>
                <w:rFonts w:hint="default" w:ascii="Times New Roman" w:hAnsi="Times New Roman" w:cs="Times New Roman"/>
                <w:sz w:val="18"/>
                <w:szCs w:val="18"/>
              </w:rPr>
              <w:t>Diameter (mm)</w:t>
            </w:r>
          </w:p>
          <w:p>
            <w:pPr>
              <w:jc w:val="both"/>
              <w:rPr>
                <w:sz w:val="18"/>
                <w:szCs w:val="18"/>
                <w:vertAlign w:val="baseline"/>
              </w:rPr>
            </w:pPr>
          </w:p>
        </w:tc>
        <w:tc>
          <w:tcPr>
            <w:tcW w:w="1156" w:type="dxa"/>
          </w:tcPr>
          <w:p>
            <w:pPr>
              <w:jc w:val="both"/>
              <w:rPr>
                <w:sz w:val="18"/>
                <w:szCs w:val="18"/>
                <w:vertAlign w:val="baseline"/>
              </w:rPr>
            </w:pPr>
            <w:r>
              <w:rPr>
                <w:rFonts w:hint="default" w:ascii="Times New Roman" w:hAnsi="Times New Roman" w:cs="Times New Roman"/>
                <w:sz w:val="18"/>
                <w:szCs w:val="18"/>
              </w:rPr>
              <w:t>Length (mm)</w:t>
            </w:r>
          </w:p>
        </w:tc>
        <w:tc>
          <w:tcPr>
            <w:tcW w:w="762" w:type="dxa"/>
            <w:vMerge w:val="continue"/>
            <w:tcBorders/>
          </w:tcPr>
          <w:p>
            <w:pPr>
              <w:jc w:val="left"/>
              <w:rPr>
                <w:sz w:val="18"/>
                <w:szCs w:val="18"/>
                <w:vertAlign w:val="baseline"/>
              </w:rPr>
            </w:pPr>
          </w:p>
        </w:tc>
        <w:tc>
          <w:tcPr>
            <w:tcW w:w="1060" w:type="dxa"/>
            <w:vMerge w:val="continue"/>
            <w:tcBorders/>
          </w:tcPr>
          <w:p>
            <w:pPr>
              <w:jc w:val="left"/>
              <w:rPr>
                <w:sz w:val="18"/>
                <w:szCs w:val="18"/>
                <w:vertAlign w:val="baseline"/>
              </w:rPr>
            </w:pPr>
          </w:p>
        </w:tc>
        <w:tc>
          <w:tcPr>
            <w:tcW w:w="762" w:type="dxa"/>
            <w:vMerge w:val="continue"/>
            <w:tcBorders/>
          </w:tcPr>
          <w:p>
            <w:pPr>
              <w:jc w:val="left"/>
              <w:rPr>
                <w:sz w:val="18"/>
                <w:szCs w:val="18"/>
                <w:vertAlign w:val="baseline"/>
              </w:rPr>
            </w:pPr>
          </w:p>
        </w:tc>
        <w:tc>
          <w:tcPr>
            <w:tcW w:w="990" w:type="dxa"/>
            <w:vMerge w:val="continue"/>
            <w:tcBorders/>
          </w:tcPr>
          <w:p>
            <w:pPr>
              <w:jc w:val="left"/>
              <w:rPr>
                <w:sz w:val="18"/>
                <w:szCs w:val="18"/>
                <w:vertAlign w:val="baseline"/>
              </w:rPr>
            </w:pPr>
          </w:p>
        </w:tc>
        <w:tc>
          <w:tcPr>
            <w:tcW w:w="2023" w:type="dxa"/>
          </w:tcPr>
          <w:p>
            <w:pPr>
              <w:jc w:val="left"/>
              <w:rPr>
                <w:sz w:val="18"/>
                <w:szCs w:val="18"/>
                <w:vertAlign w:val="baseline"/>
              </w:rPr>
            </w:pPr>
            <w:r>
              <w:rPr>
                <w:rFonts w:hint="default" w:ascii="Times New Roman" w:hAnsi="Times New Roman" w:cs="Times New Roman"/>
                <w:sz w:val="18"/>
                <w:szCs w:val="18"/>
              </w:rPr>
              <w:t>Length (mm) x Width (mm) x Height (mm)</w:t>
            </w:r>
          </w:p>
        </w:tc>
        <w:tc>
          <w:tcPr>
            <w:tcW w:w="1018" w:type="dxa"/>
            <w:vMerge w:val="continue"/>
            <w:tcBorders/>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1288" w:type="dxa"/>
          </w:tcPr>
          <w:p>
            <w:pPr>
              <w:rPr>
                <w:vertAlign w:val="baseline"/>
              </w:rPr>
            </w:pPr>
          </w:p>
        </w:tc>
        <w:tc>
          <w:tcPr>
            <w:tcW w:w="1130" w:type="dxa"/>
          </w:tcPr>
          <w:p>
            <w:pPr>
              <w:rPr>
                <w:vertAlign w:val="baseline"/>
              </w:rPr>
            </w:pPr>
          </w:p>
        </w:tc>
        <w:tc>
          <w:tcPr>
            <w:tcW w:w="1156" w:type="dxa"/>
          </w:tcPr>
          <w:p>
            <w:pPr>
              <w:rPr>
                <w:vertAlign w:val="baseline"/>
              </w:rPr>
            </w:pPr>
          </w:p>
        </w:tc>
        <w:tc>
          <w:tcPr>
            <w:tcW w:w="762" w:type="dxa"/>
          </w:tcPr>
          <w:p>
            <w:pPr>
              <w:rPr>
                <w:vertAlign w:val="baseline"/>
              </w:rPr>
            </w:pPr>
          </w:p>
        </w:tc>
        <w:tc>
          <w:tcPr>
            <w:tcW w:w="1060" w:type="dxa"/>
          </w:tcPr>
          <w:p>
            <w:pPr>
              <w:rPr>
                <w:vertAlign w:val="baseline"/>
              </w:rPr>
            </w:pPr>
          </w:p>
        </w:tc>
        <w:tc>
          <w:tcPr>
            <w:tcW w:w="762" w:type="dxa"/>
          </w:tcPr>
          <w:p>
            <w:pPr>
              <w:rPr>
                <w:vertAlign w:val="baseline"/>
              </w:rPr>
            </w:pPr>
          </w:p>
        </w:tc>
        <w:tc>
          <w:tcPr>
            <w:tcW w:w="990" w:type="dxa"/>
          </w:tcPr>
          <w:p>
            <w:pPr>
              <w:rPr>
                <w:vertAlign w:val="baseline"/>
              </w:rPr>
            </w:pPr>
          </w:p>
        </w:tc>
        <w:tc>
          <w:tcPr>
            <w:tcW w:w="2023" w:type="dxa"/>
          </w:tcPr>
          <w:p>
            <w:pPr>
              <w:rPr>
                <w:vertAlign w:val="baseline"/>
              </w:rPr>
            </w:pPr>
          </w:p>
        </w:tc>
        <w:tc>
          <w:tcPr>
            <w:tcW w:w="1018" w:type="dxa"/>
          </w:tcPr>
          <w:p>
            <w:pPr>
              <w:rPr>
                <w:vertAlign w:val="baseline"/>
              </w:rPr>
            </w:pPr>
          </w:p>
        </w:tc>
      </w:tr>
    </w:tbl>
    <w:p>
      <w:r>
        <w:drawing>
          <wp:anchor distT="0" distB="0" distL="114300" distR="114300" simplePos="0" relativeHeight="251659264" behindDoc="0" locked="0" layoutInCell="1" allowOverlap="1">
            <wp:simplePos x="0" y="0"/>
            <wp:positionH relativeFrom="column">
              <wp:posOffset>874395</wp:posOffset>
            </wp:positionH>
            <wp:positionV relativeFrom="paragraph">
              <wp:posOffset>1287145</wp:posOffset>
            </wp:positionV>
            <wp:extent cx="4611370" cy="4330065"/>
            <wp:effectExtent l="0" t="0" r="6350" b="133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611370" cy="4330065"/>
                    </a:xfrm>
                    <a:prstGeom prst="rect">
                      <a:avLst/>
                    </a:prstGeom>
                    <a:noFill/>
                    <a:ln>
                      <a:noFill/>
                    </a:ln>
                  </pic:spPr>
                </pic:pic>
              </a:graphicData>
            </a:graphic>
          </wp:anchor>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OTRhMTY3ZWZjODc5YzM2M2RmOWMwNDZkODA4ZmIifQ=="/>
  </w:docVars>
  <w:rsids>
    <w:rsidRoot w:val="099C258F"/>
    <w:rsid w:val="26A87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2023-09-18T03:30:00Z</dcterms:created>
  <dc:creator>搜狐自媒体艺食家Judy</dc:creator>
  <cp:lastModifiedBy>搜狐自媒体艺食家Judy</cp:lastModifiedBy>
  <dcterms:modified xsi:type="dcterms:W3CDTF">2023-09-18T04:23:47Z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509CB37B43384698A33E622D48FF8EE5_11</vt:lpwstr>
  </property>
</Properties>
</file>